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F9" w:rsidRPr="003F66DE" w:rsidRDefault="00D774F9" w:rsidP="00D774F9">
      <w:pPr>
        <w:ind w:left="-720"/>
        <w:contextualSpacing/>
        <w:jc w:val="right"/>
        <w:rPr>
          <w:b/>
        </w:rPr>
      </w:pPr>
      <w:r w:rsidRPr="003F66DE">
        <w:rPr>
          <w:b/>
        </w:rPr>
        <w:t>Утверждено</w:t>
      </w:r>
    </w:p>
    <w:p w:rsidR="00D774F9" w:rsidRPr="003F66DE" w:rsidRDefault="00D774F9" w:rsidP="00D774F9">
      <w:pPr>
        <w:ind w:left="-720"/>
        <w:contextualSpacing/>
        <w:jc w:val="right"/>
        <w:rPr>
          <w:b/>
        </w:rPr>
      </w:pPr>
      <w:r w:rsidRPr="003F66DE">
        <w:rPr>
          <w:b/>
        </w:rPr>
        <w:t>Приказом АО «Саханефтегазсбыт»</w:t>
      </w:r>
    </w:p>
    <w:p w:rsidR="00D774F9" w:rsidRPr="003F66DE" w:rsidRDefault="00D774F9" w:rsidP="00D774F9">
      <w:pPr>
        <w:ind w:left="-720"/>
        <w:contextualSpacing/>
        <w:jc w:val="right"/>
        <w:rPr>
          <w:b/>
        </w:rPr>
      </w:pPr>
      <w:r w:rsidRPr="003F66DE">
        <w:rPr>
          <w:b/>
        </w:rPr>
        <w:t>от "</w:t>
      </w:r>
      <w:r w:rsidR="00266609">
        <w:rPr>
          <w:b/>
        </w:rPr>
        <w:t>10</w:t>
      </w:r>
      <w:r w:rsidRPr="003F66DE">
        <w:rPr>
          <w:b/>
        </w:rPr>
        <w:t xml:space="preserve">" </w:t>
      </w:r>
      <w:r w:rsidR="00266609">
        <w:rPr>
          <w:b/>
        </w:rPr>
        <w:t>апреля</w:t>
      </w:r>
      <w:r>
        <w:rPr>
          <w:b/>
        </w:rPr>
        <w:t xml:space="preserve"> 2026 г. № </w:t>
      </w:r>
      <w:r w:rsidR="00266609">
        <w:rPr>
          <w:b/>
        </w:rPr>
        <w:t>Закуп-2240</w:t>
      </w:r>
      <w:r>
        <w:rPr>
          <w:b/>
        </w:rPr>
        <w:t xml:space="preserve"> </w:t>
      </w:r>
    </w:p>
    <w:p w:rsidR="00D774F9" w:rsidRPr="00C22191" w:rsidRDefault="00D774F9" w:rsidP="00D774F9">
      <w:pPr>
        <w:ind w:left="-720"/>
        <w:contextualSpacing/>
        <w:jc w:val="right"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contextualSpacing/>
        <w:jc w:val="center"/>
        <w:rPr>
          <w:b/>
        </w:rPr>
      </w:pPr>
      <w:r w:rsidRPr="00C22191">
        <w:rPr>
          <w:b/>
        </w:rPr>
        <w:t xml:space="preserve">Извещение </w:t>
      </w:r>
    </w:p>
    <w:p w:rsidR="00D774F9" w:rsidRPr="00C22191" w:rsidRDefault="00D774F9" w:rsidP="00D774F9">
      <w:pPr>
        <w:contextualSpacing/>
        <w:jc w:val="center"/>
        <w:rPr>
          <w:b/>
        </w:rPr>
      </w:pPr>
      <w:r w:rsidRPr="00C22191">
        <w:rPr>
          <w:b/>
        </w:rPr>
        <w:t>о проведении открытого конкурса в электронной форме</w:t>
      </w:r>
    </w:p>
    <w:p w:rsidR="00D774F9" w:rsidRPr="00C22191" w:rsidRDefault="00D774F9" w:rsidP="00D774F9">
      <w:pPr>
        <w:contextualSpacing/>
        <w:jc w:val="center"/>
        <w:rPr>
          <w:b/>
        </w:rPr>
      </w:pPr>
      <w:r w:rsidRPr="00C22191">
        <w:rPr>
          <w:b/>
        </w:rPr>
        <w:t xml:space="preserve">на оказание услуг  </w:t>
      </w:r>
    </w:p>
    <w:p w:rsidR="00D774F9" w:rsidRPr="00C22191" w:rsidRDefault="00D774F9" w:rsidP="00D774F9">
      <w:pPr>
        <w:contextualSpacing/>
        <w:jc w:val="center"/>
        <w:rPr>
          <w:b/>
        </w:rPr>
      </w:pPr>
      <w:r w:rsidRPr="00C22191">
        <w:rPr>
          <w:b/>
        </w:rPr>
        <w:t xml:space="preserve">по проведению </w:t>
      </w:r>
      <w:r>
        <w:rPr>
          <w:b/>
        </w:rPr>
        <w:t xml:space="preserve">обязательного </w:t>
      </w:r>
      <w:r w:rsidRPr="00162A81">
        <w:rPr>
          <w:b/>
          <w:color w:val="000000" w:themeColor="text1"/>
        </w:rPr>
        <w:t>ежегодного</w:t>
      </w:r>
      <w:r>
        <w:rPr>
          <w:b/>
        </w:rPr>
        <w:t xml:space="preserve"> </w:t>
      </w:r>
      <w:r w:rsidRPr="00C22191">
        <w:rPr>
          <w:b/>
        </w:rPr>
        <w:t xml:space="preserve">аудита бухгалтерской </w:t>
      </w:r>
      <w:r>
        <w:rPr>
          <w:b/>
        </w:rPr>
        <w:t xml:space="preserve">(финансовой) </w:t>
      </w:r>
      <w:r w:rsidRPr="00C22191">
        <w:rPr>
          <w:b/>
        </w:rPr>
        <w:t xml:space="preserve">отчетности </w:t>
      </w:r>
      <w:r>
        <w:rPr>
          <w:b/>
        </w:rPr>
        <w:t xml:space="preserve">общественно значимой организации </w:t>
      </w:r>
      <w:r w:rsidRPr="00C22191">
        <w:rPr>
          <w:b/>
        </w:rPr>
        <w:t>АО «</w:t>
      </w:r>
      <w:proofErr w:type="spellStart"/>
      <w:r>
        <w:rPr>
          <w:b/>
        </w:rPr>
        <w:t>Саханефтегазсбыт</w:t>
      </w:r>
      <w:proofErr w:type="spellEnd"/>
      <w:r>
        <w:rPr>
          <w:b/>
        </w:rPr>
        <w:t>» за 2026</w:t>
      </w:r>
      <w:r w:rsidRPr="00C22191">
        <w:rPr>
          <w:b/>
        </w:rPr>
        <w:t>-202</w:t>
      </w:r>
      <w:r>
        <w:rPr>
          <w:b/>
        </w:rPr>
        <w:t>8</w:t>
      </w:r>
      <w:r w:rsidRPr="00C22191">
        <w:rPr>
          <w:b/>
        </w:rPr>
        <w:t xml:space="preserve"> </w:t>
      </w:r>
      <w:r w:rsidR="006750A8">
        <w:rPr>
          <w:b/>
        </w:rPr>
        <w:t>г</w:t>
      </w:r>
      <w:r w:rsidR="001C00C4">
        <w:rPr>
          <w:b/>
        </w:rPr>
        <w:t>г.</w:t>
      </w:r>
    </w:p>
    <w:p w:rsidR="00D774F9" w:rsidRPr="00C22191" w:rsidRDefault="00D774F9" w:rsidP="00D774F9">
      <w:pPr>
        <w:contextualSpacing/>
        <w:jc w:val="center"/>
      </w:pPr>
    </w:p>
    <w:p w:rsidR="00D774F9" w:rsidRPr="00C22191" w:rsidRDefault="00D774F9" w:rsidP="00D774F9">
      <w:pPr>
        <w:contextualSpacing/>
        <w:jc w:val="center"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</w:pPr>
    </w:p>
    <w:p w:rsidR="00D774F9" w:rsidRPr="00C22191" w:rsidRDefault="00D774F9" w:rsidP="00D774F9">
      <w:pPr>
        <w:ind w:left="-720"/>
        <w:contextualSpacing/>
        <w:jc w:val="center"/>
      </w:pPr>
    </w:p>
    <w:p w:rsidR="00D774F9" w:rsidRPr="00C22191" w:rsidRDefault="00D774F9" w:rsidP="00D774F9">
      <w:pPr>
        <w:ind w:left="-720"/>
        <w:contextualSpacing/>
        <w:jc w:val="center"/>
      </w:pPr>
    </w:p>
    <w:p w:rsidR="00D774F9" w:rsidRPr="00C22191" w:rsidRDefault="00D774F9" w:rsidP="00D774F9">
      <w:pPr>
        <w:ind w:left="-720"/>
        <w:contextualSpacing/>
        <w:jc w:val="center"/>
      </w:pPr>
    </w:p>
    <w:p w:rsidR="00D774F9" w:rsidRPr="00C22191" w:rsidRDefault="00D774F9" w:rsidP="00D774F9">
      <w:pPr>
        <w:ind w:left="-720"/>
        <w:contextualSpacing/>
        <w:jc w:val="center"/>
      </w:pPr>
    </w:p>
    <w:p w:rsidR="00D774F9" w:rsidRPr="00C22191" w:rsidRDefault="00D774F9" w:rsidP="00D774F9">
      <w:pPr>
        <w:ind w:left="-720"/>
        <w:contextualSpacing/>
        <w:jc w:val="center"/>
      </w:pPr>
    </w:p>
    <w:p w:rsidR="00D774F9" w:rsidRPr="00C22191" w:rsidRDefault="00D774F9" w:rsidP="00D774F9">
      <w:pPr>
        <w:ind w:left="-720"/>
        <w:contextualSpacing/>
        <w:jc w:val="center"/>
      </w:pPr>
    </w:p>
    <w:p w:rsidR="00D774F9" w:rsidRPr="00C22191" w:rsidRDefault="00D774F9" w:rsidP="00D774F9">
      <w:pPr>
        <w:ind w:left="-720"/>
        <w:contextualSpacing/>
        <w:jc w:val="center"/>
      </w:pPr>
    </w:p>
    <w:p w:rsidR="00D774F9" w:rsidRDefault="00D774F9" w:rsidP="00D774F9">
      <w:pPr>
        <w:tabs>
          <w:tab w:val="left" w:pos="1236"/>
        </w:tabs>
        <w:ind w:left="-720"/>
        <w:contextualSpacing/>
      </w:pPr>
      <w:r w:rsidRPr="00C22191">
        <w:tab/>
      </w:r>
    </w:p>
    <w:p w:rsidR="00D774F9" w:rsidRDefault="00D774F9" w:rsidP="00D774F9">
      <w:pPr>
        <w:tabs>
          <w:tab w:val="left" w:pos="1236"/>
        </w:tabs>
        <w:ind w:left="-720"/>
        <w:contextualSpacing/>
      </w:pPr>
    </w:p>
    <w:p w:rsidR="00D774F9" w:rsidRDefault="00D774F9" w:rsidP="00D774F9">
      <w:pPr>
        <w:tabs>
          <w:tab w:val="left" w:pos="1236"/>
        </w:tabs>
        <w:ind w:left="-720"/>
        <w:contextualSpacing/>
      </w:pPr>
    </w:p>
    <w:p w:rsidR="00D774F9" w:rsidRDefault="00D774F9" w:rsidP="00D774F9">
      <w:pPr>
        <w:tabs>
          <w:tab w:val="left" w:pos="1236"/>
        </w:tabs>
        <w:ind w:left="-720"/>
        <w:contextualSpacing/>
      </w:pPr>
    </w:p>
    <w:p w:rsidR="00D774F9" w:rsidRPr="00C22191" w:rsidRDefault="00D774F9" w:rsidP="00D774F9">
      <w:pPr>
        <w:tabs>
          <w:tab w:val="left" w:pos="1236"/>
        </w:tabs>
        <w:ind w:left="-720"/>
        <w:contextualSpacing/>
      </w:pPr>
    </w:p>
    <w:p w:rsidR="00D774F9" w:rsidRPr="00C22191" w:rsidRDefault="00D774F9" w:rsidP="00D774F9">
      <w:pPr>
        <w:contextualSpacing/>
        <w:jc w:val="center"/>
      </w:pPr>
      <w:r w:rsidRPr="00C22191">
        <w:t xml:space="preserve">г. </w:t>
      </w:r>
      <w:r>
        <w:t>Якутск</w:t>
      </w:r>
    </w:p>
    <w:p w:rsidR="00D774F9" w:rsidRPr="00C22191" w:rsidRDefault="00D774F9" w:rsidP="00D774F9">
      <w:pPr>
        <w:ind w:left="-720"/>
        <w:contextualSpacing/>
        <w:jc w:val="center"/>
        <w:rPr>
          <w:b/>
          <w:color w:val="000000"/>
        </w:rPr>
      </w:pPr>
      <w:r w:rsidRPr="00C22191">
        <w:t xml:space="preserve">            </w:t>
      </w:r>
      <w:r>
        <w:t xml:space="preserve">2026 </w:t>
      </w:r>
      <w:r w:rsidRPr="00C22191">
        <w:t>г.</w:t>
      </w:r>
    </w:p>
    <w:p w:rsidR="00D774F9" w:rsidRPr="00C22191" w:rsidRDefault="00D774F9" w:rsidP="00D774F9">
      <w:pPr>
        <w:suppressAutoHyphens w:val="0"/>
        <w:spacing w:after="160" w:line="259" w:lineRule="auto"/>
      </w:pPr>
      <w:r w:rsidRPr="00C22191">
        <w:br w:type="page"/>
      </w:r>
    </w:p>
    <w:p w:rsidR="00D774F9" w:rsidRPr="00C22191" w:rsidRDefault="00D774F9" w:rsidP="00D774F9">
      <w:pPr>
        <w:pStyle w:val="a4"/>
        <w:spacing w:after="0" w:line="240" w:lineRule="auto"/>
        <w:contextualSpacing/>
        <w:rPr>
          <w:rFonts w:ascii="Times New Roman" w:hAnsi="Times New Roman" w:cs="Times New Roman"/>
        </w:rPr>
      </w:pPr>
      <w:r w:rsidRPr="00C22191">
        <w:rPr>
          <w:rFonts w:ascii="Times New Roman" w:hAnsi="Times New Roman" w:cs="Times New Roman"/>
        </w:rPr>
        <w:lastRenderedPageBreak/>
        <w:t>ИНФОРМАЦИОННАЯ КАРТА</w:t>
      </w:r>
    </w:p>
    <w:p w:rsidR="00D774F9" w:rsidRPr="00C22191" w:rsidRDefault="00D774F9" w:rsidP="00D774F9">
      <w:pPr>
        <w:ind w:firstLine="709"/>
        <w:contextualSpacing/>
        <w:jc w:val="both"/>
      </w:pPr>
      <w:r w:rsidRPr="00C22191">
        <w:t>Настоящая информационная карта составлена с целью утверждения информации и документов, подлежащих размещению в ЕИС в рамках проведения конкурентной процедуры.</w:t>
      </w: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657"/>
        <w:gridCol w:w="5670"/>
      </w:tblGrid>
      <w:tr w:rsidR="00D774F9" w:rsidRPr="00C22191" w:rsidTr="005D3638">
        <w:tc>
          <w:tcPr>
            <w:tcW w:w="704" w:type="dxa"/>
            <w:shd w:val="clear" w:color="auto" w:fill="BFBFBF" w:themeFill="background1" w:themeFillShade="BF"/>
          </w:tcPr>
          <w:p w:rsidR="00D774F9" w:rsidRPr="00C22191" w:rsidRDefault="00D774F9" w:rsidP="005D3638">
            <w:pPr>
              <w:contextualSpacing/>
              <w:jc w:val="center"/>
              <w:rPr>
                <w:i/>
              </w:rPr>
            </w:pPr>
            <w:r w:rsidRPr="00C22191">
              <w:rPr>
                <w:i/>
              </w:rPr>
              <w:t>№</w:t>
            </w:r>
          </w:p>
        </w:tc>
        <w:tc>
          <w:tcPr>
            <w:tcW w:w="3657" w:type="dxa"/>
            <w:shd w:val="clear" w:color="auto" w:fill="BFBFBF" w:themeFill="background1" w:themeFillShade="BF"/>
            <w:vAlign w:val="center"/>
          </w:tcPr>
          <w:p w:rsidR="00D774F9" w:rsidRPr="00C22191" w:rsidRDefault="00D774F9" w:rsidP="005D3638">
            <w:pPr>
              <w:contextualSpacing/>
              <w:jc w:val="center"/>
              <w:rPr>
                <w:i/>
              </w:rPr>
            </w:pPr>
            <w:r w:rsidRPr="00C22191">
              <w:rPr>
                <w:i/>
              </w:rPr>
              <w:t>Наименование пункта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:rsidR="00D774F9" w:rsidRPr="00C22191" w:rsidRDefault="00D774F9" w:rsidP="005D3638">
            <w:pPr>
              <w:contextualSpacing/>
              <w:jc w:val="center"/>
              <w:rPr>
                <w:i/>
              </w:rPr>
            </w:pPr>
            <w:r w:rsidRPr="00C22191">
              <w:rPr>
                <w:i/>
              </w:rPr>
              <w:t>Информация</w:t>
            </w:r>
          </w:p>
        </w:tc>
      </w:tr>
      <w:tr w:rsidR="00D774F9" w:rsidRPr="00C22191" w:rsidTr="005D3638">
        <w:trPr>
          <w:trHeight w:val="2430"/>
        </w:trPr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1.1.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  <w:p w:rsidR="00D774F9" w:rsidRPr="00C22191" w:rsidRDefault="00D774F9" w:rsidP="005D3638">
            <w:pPr>
              <w:contextualSpacing/>
              <w:jc w:val="both"/>
            </w:pPr>
          </w:p>
        </w:tc>
        <w:tc>
          <w:tcPr>
            <w:tcW w:w="5670" w:type="dxa"/>
          </w:tcPr>
          <w:p w:rsidR="00D774F9" w:rsidRPr="00C22191" w:rsidRDefault="00D774F9" w:rsidP="005D3638">
            <w:pPr>
              <w:snapToGrid w:val="0"/>
              <w:contextualSpacing/>
              <w:jc w:val="both"/>
            </w:pPr>
            <w:r w:rsidRPr="00C22191">
              <w:t>Полное наименование: Акционерное общество «</w:t>
            </w:r>
            <w:r>
              <w:t>Саханефтегазсбыт</w:t>
            </w:r>
            <w:r w:rsidRPr="00C22191">
              <w:t>»</w:t>
            </w:r>
          </w:p>
          <w:p w:rsidR="00D774F9" w:rsidRPr="00C22191" w:rsidRDefault="00D774F9" w:rsidP="005D3638">
            <w:pPr>
              <w:snapToGrid w:val="0"/>
              <w:contextualSpacing/>
              <w:jc w:val="both"/>
            </w:pPr>
            <w:r>
              <w:t xml:space="preserve">Сокращенное </w:t>
            </w:r>
            <w:proofErr w:type="gramStart"/>
            <w:r w:rsidRPr="00C22191">
              <w:t xml:space="preserve">наименование: </w:t>
            </w:r>
            <w:r>
              <w:t xml:space="preserve">  </w:t>
            </w:r>
            <w:proofErr w:type="gramEnd"/>
            <w:r>
              <w:t xml:space="preserve">                                                       </w:t>
            </w:r>
            <w:r w:rsidRPr="00C22191">
              <w:t>АО «</w:t>
            </w:r>
            <w:r>
              <w:t>Саханефтегазсбыт</w:t>
            </w:r>
            <w:r w:rsidRPr="00C22191">
              <w:t>»</w:t>
            </w:r>
          </w:p>
          <w:p w:rsidR="00D774F9" w:rsidRPr="00C22191" w:rsidRDefault="00D774F9" w:rsidP="005D3638">
            <w:pPr>
              <w:snapToGrid w:val="0"/>
              <w:contextualSpacing/>
              <w:jc w:val="both"/>
            </w:pPr>
            <w:r w:rsidRPr="00C22191">
              <w:t>Юридический адрес (место нахождения):</w:t>
            </w:r>
            <w:r>
              <w:t xml:space="preserve"> Российская Федерация, Республика Саха (Якутия),</w:t>
            </w:r>
            <w:r w:rsidRPr="00C22191">
              <w:t xml:space="preserve"> г. </w:t>
            </w:r>
            <w:r>
              <w:t>Якутск</w:t>
            </w:r>
            <w:r w:rsidRPr="00C22191">
              <w:t xml:space="preserve">, ул. </w:t>
            </w:r>
            <w:r>
              <w:t xml:space="preserve">Чиряева, </w:t>
            </w:r>
            <w:r w:rsidRPr="00C22191">
              <w:t>3</w:t>
            </w:r>
          </w:p>
          <w:p w:rsidR="00D774F9" w:rsidRPr="00C22191" w:rsidRDefault="00D774F9" w:rsidP="005D3638">
            <w:pPr>
              <w:snapToGrid w:val="0"/>
              <w:contextualSpacing/>
              <w:jc w:val="both"/>
            </w:pPr>
            <w:r w:rsidRPr="00C22191">
              <w:t xml:space="preserve">Почтовый адрес: </w:t>
            </w:r>
            <w:r>
              <w:t>677000</w:t>
            </w:r>
            <w:r w:rsidRPr="00C22191">
              <w:t xml:space="preserve">, </w:t>
            </w:r>
            <w:r>
              <w:t xml:space="preserve">Российская Федерация, Республика Саха (Якутия), </w:t>
            </w:r>
            <w:r w:rsidRPr="00C22191">
              <w:t xml:space="preserve">г. </w:t>
            </w:r>
            <w:r>
              <w:t>Якутск</w:t>
            </w:r>
            <w:r w:rsidRPr="00C22191">
              <w:t xml:space="preserve">, ул. </w:t>
            </w:r>
            <w:r>
              <w:t xml:space="preserve">Чиряева, </w:t>
            </w:r>
            <w:r w:rsidRPr="00C22191">
              <w:t>3</w:t>
            </w:r>
          </w:p>
          <w:p w:rsidR="00D774F9" w:rsidRPr="00C22191" w:rsidRDefault="00D774F9" w:rsidP="005D3638">
            <w:pPr>
              <w:contextualSpacing/>
              <w:jc w:val="both"/>
            </w:pPr>
            <w:r w:rsidRPr="00C22191">
              <w:t xml:space="preserve">Ответственное должностное лицо заказчика: </w:t>
            </w:r>
            <w:r>
              <w:t>Кучеров Михаил Дмитриевич</w:t>
            </w:r>
          </w:p>
          <w:p w:rsidR="00D774F9" w:rsidRPr="00311D67" w:rsidRDefault="00D774F9" w:rsidP="005D3638">
            <w:pPr>
              <w:snapToGrid w:val="0"/>
              <w:contextualSpacing/>
              <w:jc w:val="both"/>
            </w:pPr>
            <w:r w:rsidRPr="00C22191">
              <w:t xml:space="preserve">Адрес электронной почты: </w:t>
            </w:r>
            <w:proofErr w:type="spellStart"/>
            <w:r w:rsidRPr="001C059D">
              <w:rPr>
                <w:color w:val="0000FF"/>
                <w:lang w:val="en-US"/>
              </w:rPr>
              <w:t>torgi</w:t>
            </w:r>
            <w:proofErr w:type="spellEnd"/>
            <w:r w:rsidRPr="001C059D">
              <w:rPr>
                <w:color w:val="0000FF"/>
              </w:rPr>
              <w:t>.</w:t>
            </w:r>
            <w:proofErr w:type="spellStart"/>
            <w:r w:rsidRPr="001C059D">
              <w:rPr>
                <w:color w:val="0000FF"/>
                <w:lang w:val="en-US"/>
              </w:rPr>
              <w:t>sngs</w:t>
            </w:r>
            <w:proofErr w:type="spellEnd"/>
            <w:r w:rsidRPr="001C059D">
              <w:rPr>
                <w:color w:val="0000FF"/>
              </w:rPr>
              <w:t>@</w:t>
            </w:r>
            <w:r w:rsidRPr="001C059D">
              <w:rPr>
                <w:color w:val="0000FF"/>
                <w:lang w:val="en-US"/>
              </w:rPr>
              <w:t>mail</w:t>
            </w:r>
            <w:r w:rsidRPr="001C059D">
              <w:rPr>
                <w:color w:val="0000FF"/>
              </w:rPr>
              <w:t>.</w:t>
            </w:r>
            <w:proofErr w:type="spellStart"/>
            <w:r w:rsidRPr="001C059D">
              <w:rPr>
                <w:color w:val="0000FF"/>
                <w:lang w:val="en-US"/>
              </w:rPr>
              <w:t>ru</w:t>
            </w:r>
            <w:proofErr w:type="spellEnd"/>
          </w:p>
          <w:p w:rsidR="00D774F9" w:rsidRPr="00C22191" w:rsidRDefault="00D774F9" w:rsidP="005D3638">
            <w:pPr>
              <w:snapToGrid w:val="0"/>
              <w:contextualSpacing/>
              <w:jc w:val="both"/>
            </w:pPr>
            <w:r>
              <w:t>Контактный телефон: +7(</w:t>
            </w:r>
            <w:r w:rsidRPr="00311D67">
              <w:t>914</w:t>
            </w:r>
            <w:r w:rsidRPr="00CD4860">
              <w:t>)</w:t>
            </w:r>
            <w:r w:rsidRPr="00311D67">
              <w:t>272</w:t>
            </w:r>
            <w:r w:rsidRPr="00CD4860">
              <w:t>-</w:t>
            </w:r>
            <w:r w:rsidRPr="00311D67">
              <w:t>97</w:t>
            </w:r>
            <w:r w:rsidRPr="00CD4860">
              <w:t>-</w:t>
            </w:r>
            <w:r w:rsidRPr="00311D67">
              <w:t>64</w:t>
            </w:r>
          </w:p>
          <w:p w:rsidR="00D774F9" w:rsidRPr="00C22191" w:rsidRDefault="00D774F9" w:rsidP="005D3638">
            <w:pPr>
              <w:contextualSpacing/>
              <w:jc w:val="both"/>
            </w:pPr>
          </w:p>
          <w:p w:rsidR="00D774F9" w:rsidRPr="00C22191" w:rsidRDefault="00D774F9" w:rsidP="005D3638">
            <w:pPr>
              <w:contextualSpacing/>
              <w:jc w:val="both"/>
            </w:pPr>
            <w:r w:rsidRPr="00C22191">
              <w:t xml:space="preserve">По вопросам оказания услуг в рамках исполнения </w:t>
            </w:r>
            <w:r>
              <w:t>договора</w:t>
            </w:r>
            <w:r w:rsidRPr="00C22191">
              <w:t xml:space="preserve">: </w:t>
            </w:r>
          </w:p>
          <w:p w:rsidR="00D774F9" w:rsidRPr="00C22191" w:rsidRDefault="00D774F9" w:rsidP="005D3638">
            <w:pPr>
              <w:contextualSpacing/>
              <w:jc w:val="both"/>
            </w:pPr>
            <w:r w:rsidRPr="00C22191">
              <w:t xml:space="preserve">Главный бухгалтер </w:t>
            </w:r>
            <w:r>
              <w:t>Макаров Александр Егорович</w:t>
            </w:r>
          </w:p>
          <w:p w:rsidR="00D774F9" w:rsidRPr="001C059D" w:rsidRDefault="00D774F9" w:rsidP="005D3638">
            <w:pPr>
              <w:contextualSpacing/>
              <w:jc w:val="both"/>
              <w:rPr>
                <w:color w:val="0000FF"/>
              </w:rPr>
            </w:pPr>
            <w:r w:rsidRPr="00C22191">
              <w:t>Адрес электронной почты</w:t>
            </w:r>
            <w:r w:rsidRPr="001C059D">
              <w:rPr>
                <w:color w:val="0000FF"/>
              </w:rPr>
              <w:t xml:space="preserve">: </w:t>
            </w:r>
            <w:hyperlink r:id="rId7" w:history="1">
              <w:r w:rsidRPr="001C059D">
                <w:rPr>
                  <w:rStyle w:val="a3"/>
                </w:rPr>
                <w:t>mae@ynp.ru</w:t>
              </w:r>
            </w:hyperlink>
          </w:p>
          <w:p w:rsidR="00D774F9" w:rsidRPr="00C22191" w:rsidRDefault="00D774F9" w:rsidP="005D3638">
            <w:pPr>
              <w:snapToGrid w:val="0"/>
              <w:contextualSpacing/>
              <w:jc w:val="both"/>
            </w:pPr>
            <w:r w:rsidRPr="00C22191">
              <w:t>Контактный телефон: +</w:t>
            </w:r>
            <w:r w:rsidRPr="001C059D">
              <w:t>7</w:t>
            </w:r>
            <w:r>
              <w:t>(</w:t>
            </w:r>
            <w:r w:rsidRPr="001C059D">
              <w:t>914</w:t>
            </w:r>
            <w:r>
              <w:t>)</w:t>
            </w:r>
            <w:r w:rsidRPr="001C059D">
              <w:t>272</w:t>
            </w:r>
            <w:r>
              <w:t>-</w:t>
            </w:r>
            <w:r w:rsidRPr="001C059D">
              <w:t>97</w:t>
            </w:r>
            <w:r>
              <w:t>-</w:t>
            </w:r>
            <w:r w:rsidRPr="001C059D">
              <w:t>60</w:t>
            </w:r>
          </w:p>
          <w:p w:rsidR="00D774F9" w:rsidRPr="00C22191" w:rsidRDefault="00D774F9" w:rsidP="005D3638">
            <w:pPr>
              <w:snapToGrid w:val="0"/>
              <w:contextualSpacing/>
              <w:jc w:val="both"/>
            </w:pPr>
          </w:p>
          <w:p w:rsidR="00D774F9" w:rsidRPr="00C22191" w:rsidRDefault="00D774F9" w:rsidP="005D3638">
            <w:pPr>
              <w:contextualSpacing/>
              <w:jc w:val="both"/>
              <w:rPr>
                <w:b/>
                <w:lang w:eastAsia="ru-RU"/>
              </w:rPr>
            </w:pPr>
            <w:r w:rsidRPr="00C22191">
              <w:rPr>
                <w:b/>
                <w:lang w:eastAsia="ru-RU"/>
              </w:rPr>
              <w:t>Для официальных уведомлений от участников, контрагентов, контролирующих органов:</w:t>
            </w:r>
          </w:p>
          <w:p w:rsidR="00D774F9" w:rsidRPr="00C22191" w:rsidRDefault="00D774F9" w:rsidP="005D3638">
            <w:pPr>
              <w:snapToGrid w:val="0"/>
              <w:contextualSpacing/>
              <w:jc w:val="both"/>
            </w:pPr>
            <w:r w:rsidRPr="00C22191">
              <w:rPr>
                <w:b/>
                <w:lang w:eastAsia="ru-RU"/>
              </w:rPr>
              <w:t>Адрес электронной почты</w:t>
            </w:r>
            <w:r w:rsidRPr="00C22191">
              <w:t xml:space="preserve">: </w:t>
            </w:r>
            <w:proofErr w:type="spellStart"/>
            <w:r w:rsidRPr="001C059D">
              <w:rPr>
                <w:color w:val="0000FF"/>
                <w:lang w:val="en-US"/>
              </w:rPr>
              <w:t>torgi</w:t>
            </w:r>
            <w:proofErr w:type="spellEnd"/>
            <w:r w:rsidRPr="001C059D">
              <w:rPr>
                <w:color w:val="0000FF"/>
              </w:rPr>
              <w:t>.</w:t>
            </w:r>
            <w:proofErr w:type="spellStart"/>
            <w:r w:rsidRPr="001C059D">
              <w:rPr>
                <w:color w:val="0000FF"/>
                <w:lang w:val="en-US"/>
              </w:rPr>
              <w:t>sngs</w:t>
            </w:r>
            <w:proofErr w:type="spellEnd"/>
            <w:r w:rsidRPr="001C059D">
              <w:rPr>
                <w:color w:val="0000FF"/>
              </w:rPr>
              <w:t>@</w:t>
            </w:r>
            <w:r w:rsidRPr="001C059D">
              <w:rPr>
                <w:color w:val="0000FF"/>
                <w:lang w:val="en-US"/>
              </w:rPr>
              <w:t>mail</w:t>
            </w:r>
            <w:r w:rsidRPr="001C059D">
              <w:rPr>
                <w:color w:val="0000FF"/>
              </w:rPr>
              <w:t>.</w:t>
            </w:r>
            <w:proofErr w:type="spellStart"/>
            <w:r w:rsidRPr="001C059D">
              <w:rPr>
                <w:color w:val="0000FF"/>
                <w:lang w:val="en-US"/>
              </w:rPr>
              <w:t>ru</w:t>
            </w:r>
            <w:proofErr w:type="spellEnd"/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1.2.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</w:pPr>
            <w:r w:rsidRPr="00C22191">
              <w:rPr>
                <w:rFonts w:eastAsiaTheme="minorHAnsi"/>
                <w:color w:val="auto"/>
                <w:lang w:eastAsia="en-US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специализированной организации (в случае ее привлечения заказчиком)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widowControl w:val="0"/>
              <w:contextualSpacing/>
              <w:jc w:val="both"/>
              <w:rPr>
                <w:lang w:eastAsia="ru-RU"/>
              </w:rPr>
            </w:pPr>
            <w:r w:rsidRPr="00C22191">
              <w:rPr>
                <w:lang w:eastAsia="ru-RU"/>
              </w:rPr>
              <w:t>Специализированная организация не привлекается.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1.3.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Идентификационный код закупки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Не присваивается в соответствии с ч. 7 ст. 15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1.4.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Способ определения поставщика (подрядчика, исполнителя)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Открытый конкурс в электронной форме.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 xml:space="preserve">1.5. 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Адрес в информационно-телекоммуникационной сети "Интернет" электронной площадки (в случае проведения электронной процедуры)</w:t>
            </w:r>
          </w:p>
        </w:tc>
        <w:tc>
          <w:tcPr>
            <w:tcW w:w="5670" w:type="dxa"/>
          </w:tcPr>
          <w:p w:rsidR="00D774F9" w:rsidRPr="001C4011" w:rsidRDefault="00D774F9" w:rsidP="005D3638">
            <w:pPr>
              <w:pStyle w:val="Default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 w:rsidRPr="001C4011">
              <w:rPr>
                <w:color w:val="auto"/>
              </w:rPr>
              <w:t>Единая Электронная Торговая Площадка;</w:t>
            </w:r>
          </w:p>
          <w:p w:rsidR="00D774F9" w:rsidRPr="00C22191" w:rsidRDefault="00D774F9" w:rsidP="005D3638">
            <w:pPr>
              <w:pStyle w:val="Default"/>
              <w:contextualSpacing/>
              <w:jc w:val="both"/>
              <w:rPr>
                <w:color w:val="auto"/>
              </w:rPr>
            </w:pPr>
            <w:r w:rsidRPr="001C4011">
              <w:rPr>
                <w:color w:val="auto"/>
              </w:rPr>
              <w:t xml:space="preserve">Адрес эл. площадки: </w:t>
            </w:r>
            <w:hyperlink r:id="rId8" w:history="1">
              <w:r w:rsidRPr="006E4D4A">
                <w:rPr>
                  <w:rStyle w:val="a3"/>
                  <w:lang w:eastAsia="en-US"/>
                </w:rPr>
                <w:t>http://roseltorg.ru/</w:t>
              </w:r>
            </w:hyperlink>
          </w:p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 xml:space="preserve">1.6. 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Наименование объекта закупки, информация (при наличии), предусмотренная правилами использования каталога товаров, работ, услуг для обеспечения </w:t>
            </w:r>
            <w:r w:rsidRPr="00C22191">
              <w:rPr>
                <w:rFonts w:eastAsiaTheme="minorHAnsi"/>
                <w:color w:val="auto"/>
                <w:lang w:eastAsia="en-US"/>
              </w:rPr>
              <w:lastRenderedPageBreak/>
              <w:t>государственных и муниципальных нужд</w:t>
            </w:r>
          </w:p>
        </w:tc>
        <w:tc>
          <w:tcPr>
            <w:tcW w:w="5670" w:type="dxa"/>
          </w:tcPr>
          <w:p w:rsidR="00D774F9" w:rsidRPr="00C22191" w:rsidRDefault="00D774F9" w:rsidP="00D774F9">
            <w:pPr>
              <w:spacing w:line="240" w:lineRule="exact"/>
              <w:jc w:val="both"/>
            </w:pPr>
            <w:r>
              <w:lastRenderedPageBreak/>
              <w:t>Оказание услуг</w:t>
            </w:r>
            <w:r w:rsidRPr="00C22191">
              <w:t xml:space="preserve"> по проведению </w:t>
            </w:r>
            <w:r>
              <w:t xml:space="preserve">обязательного </w:t>
            </w:r>
            <w:r w:rsidRPr="00162A81">
              <w:t>ежегодного</w:t>
            </w:r>
            <w:r>
              <w:t xml:space="preserve"> </w:t>
            </w:r>
            <w:r w:rsidRPr="00C22191">
              <w:t xml:space="preserve">аудита бухгалтерской </w:t>
            </w:r>
            <w:r w:rsidRPr="005966C5">
              <w:t xml:space="preserve">(финансовой) </w:t>
            </w:r>
            <w:r w:rsidRPr="00C22191">
              <w:lastRenderedPageBreak/>
              <w:t>отчетности</w:t>
            </w:r>
            <w:r>
              <w:t xml:space="preserve"> общественно значимой организации </w:t>
            </w:r>
            <w:r w:rsidRPr="00C22191">
              <w:t>АО «</w:t>
            </w:r>
            <w:proofErr w:type="spellStart"/>
            <w:r>
              <w:t>Саханефтегазсбыт</w:t>
            </w:r>
            <w:proofErr w:type="spellEnd"/>
            <w:r>
              <w:t>» за 2026</w:t>
            </w:r>
            <w:r w:rsidRPr="00C22191">
              <w:t>-202</w:t>
            </w:r>
            <w:r>
              <w:t>8</w:t>
            </w:r>
            <w:r w:rsidRPr="00C22191">
              <w:t xml:space="preserve"> г</w:t>
            </w:r>
            <w:r w:rsidR="001C00C4">
              <w:t>г</w:t>
            </w:r>
            <w:r w:rsidRPr="00C22191">
              <w:t>.</w:t>
            </w:r>
            <w:r w:rsidRPr="00C22191">
              <w:rPr>
                <w:rStyle w:val="a8"/>
              </w:rPr>
              <w:footnoteReference w:id="1"/>
            </w:r>
          </w:p>
          <w:p w:rsidR="00D774F9" w:rsidRPr="00C22191" w:rsidRDefault="00D774F9" w:rsidP="005D3638">
            <w:pPr>
              <w:contextualSpacing/>
            </w:pP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lastRenderedPageBreak/>
              <w:t xml:space="preserve">1.7. 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Информация об объеме оказываемых услуг, место оказания услуг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>
              <w:rPr>
                <w:shd w:val="clear" w:color="auto" w:fill="FFFFFF"/>
              </w:rPr>
              <w:t>677000</w:t>
            </w:r>
            <w:r w:rsidRPr="00C22191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Российская Федерация, Республика Саха (Якутия) </w:t>
            </w:r>
            <w:r w:rsidRPr="00C22191">
              <w:rPr>
                <w:shd w:val="clear" w:color="auto" w:fill="FFFFFF"/>
              </w:rPr>
              <w:t xml:space="preserve">г. </w:t>
            </w:r>
            <w:r>
              <w:rPr>
                <w:shd w:val="clear" w:color="auto" w:fill="FFFFFF"/>
              </w:rPr>
              <w:t>Якутск</w:t>
            </w:r>
            <w:r w:rsidRPr="00C22191">
              <w:rPr>
                <w:shd w:val="clear" w:color="auto" w:fill="FFFFFF"/>
              </w:rPr>
              <w:t xml:space="preserve">, ул. </w:t>
            </w:r>
            <w:r>
              <w:rPr>
                <w:shd w:val="clear" w:color="auto" w:fill="FFFFFF"/>
              </w:rPr>
              <w:t xml:space="preserve">Чиряева, </w:t>
            </w:r>
            <w:r w:rsidRPr="00C22191">
              <w:rPr>
                <w:shd w:val="clear" w:color="auto" w:fill="FFFFFF"/>
              </w:rPr>
              <w:t>3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 xml:space="preserve">1.8. 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Срок исполнения контракта (отдельных этапов исполнения </w:t>
            </w:r>
            <w:r>
              <w:rPr>
                <w:rFonts w:eastAsiaTheme="minorHAnsi"/>
                <w:color w:val="auto"/>
                <w:lang w:eastAsia="en-US"/>
              </w:rPr>
              <w:t>договора</w:t>
            </w:r>
            <w:r w:rsidRPr="00C22191">
              <w:rPr>
                <w:rFonts w:eastAsiaTheme="minorHAnsi"/>
                <w:color w:val="auto"/>
                <w:lang w:eastAsia="en-US"/>
              </w:rPr>
              <w:t>)</w:t>
            </w:r>
          </w:p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color w:val="000000"/>
              </w:rPr>
            </w:pPr>
          </w:p>
        </w:tc>
        <w:tc>
          <w:tcPr>
            <w:tcW w:w="5670" w:type="dxa"/>
          </w:tcPr>
          <w:p w:rsidR="00D774F9" w:rsidRPr="002E30BB" w:rsidRDefault="00D774F9" w:rsidP="005D3638">
            <w:pPr>
              <w:shd w:val="clear" w:color="auto" w:fill="FFFFFF"/>
              <w:suppressAutoHyphens w:val="0"/>
              <w:jc w:val="both"/>
              <w:rPr>
                <w:bCs/>
                <w:iCs/>
                <w:color w:val="auto"/>
                <w:lang w:eastAsia="ru-RU"/>
              </w:rPr>
            </w:pPr>
            <w:r w:rsidRPr="002E30BB">
              <w:rPr>
                <w:color w:val="auto"/>
                <w:lang w:eastAsia="ru-RU"/>
              </w:rPr>
              <w:t xml:space="preserve">Услуги оказываются </w:t>
            </w:r>
            <w:r w:rsidRPr="002E30BB">
              <w:rPr>
                <w:bCs/>
                <w:iCs/>
                <w:color w:val="auto"/>
                <w:lang w:eastAsia="ru-RU"/>
              </w:rPr>
              <w:t xml:space="preserve">поэтапно согласно нижеследующей таблице. </w:t>
            </w:r>
          </w:p>
          <w:p w:rsidR="00D774F9" w:rsidRPr="002E30BB" w:rsidRDefault="00D774F9" w:rsidP="005D3638">
            <w:pPr>
              <w:shd w:val="clear" w:color="auto" w:fill="FFFFFF"/>
              <w:suppressAutoHyphens w:val="0"/>
              <w:jc w:val="both"/>
              <w:rPr>
                <w:bCs/>
                <w:iCs/>
                <w:color w:val="auto"/>
                <w:lang w:eastAsia="ru-RU"/>
              </w:rPr>
            </w:pPr>
            <w:r w:rsidRPr="002E30BB">
              <w:rPr>
                <w:bCs/>
                <w:iCs/>
                <w:color w:val="auto"/>
                <w:lang w:eastAsia="ru-RU"/>
              </w:rPr>
              <w:t>Начало оказания услуг – с даты заключения Договора.</w:t>
            </w:r>
          </w:p>
          <w:p w:rsidR="00D774F9" w:rsidRDefault="00D774F9" w:rsidP="005D3638">
            <w:pPr>
              <w:rPr>
                <w:b/>
                <w:color w:val="auto"/>
                <w:u w:val="single"/>
                <w:lang w:eastAsia="ru-RU"/>
              </w:rPr>
            </w:pPr>
            <w:r w:rsidRPr="002E30BB">
              <w:rPr>
                <w:color w:val="auto"/>
                <w:u w:val="single"/>
                <w:lang w:eastAsia="ru-RU"/>
              </w:rPr>
              <w:t xml:space="preserve">Услуги по аудиту бухгалтерской отчетности за </w:t>
            </w:r>
            <w:r>
              <w:rPr>
                <w:b/>
                <w:color w:val="auto"/>
                <w:u w:val="single"/>
                <w:lang w:eastAsia="ru-RU"/>
              </w:rPr>
              <w:t xml:space="preserve">2026 </w:t>
            </w:r>
            <w:r w:rsidRPr="002E30BB">
              <w:rPr>
                <w:b/>
                <w:color w:val="auto"/>
                <w:u w:val="single"/>
                <w:lang w:eastAsia="ru-RU"/>
              </w:rPr>
              <w:t>год:</w:t>
            </w:r>
          </w:p>
          <w:p w:rsidR="003E5957" w:rsidRPr="00BB6E03" w:rsidRDefault="003E5957" w:rsidP="003E5957">
            <w:pPr>
              <w:spacing w:after="60"/>
              <w:ind w:left="494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- </w:t>
            </w:r>
            <w:r w:rsidRPr="00BB6E03">
              <w:rPr>
                <w:u w:val="single"/>
              </w:rPr>
              <w:t>проверка бухгалтерской (финансовой) отчетности АО «Саханефтегазсбыт» п</w:t>
            </w:r>
            <w:r>
              <w:rPr>
                <w:u w:val="single"/>
              </w:rPr>
              <w:t xml:space="preserve">о состоянию на «31» декабря 2026г.–  с «25» февраля </w:t>
            </w:r>
            <w:r w:rsidRPr="00844016">
              <w:rPr>
                <w:color w:val="000000" w:themeColor="text1"/>
                <w:u w:val="single"/>
              </w:rPr>
              <w:t>202</w:t>
            </w:r>
            <w:r w:rsidR="00E6402C" w:rsidRPr="00844016">
              <w:rPr>
                <w:color w:val="000000" w:themeColor="text1"/>
                <w:u w:val="single"/>
              </w:rPr>
              <w:t>7</w:t>
            </w:r>
            <w:r w:rsidRPr="00E6402C">
              <w:rPr>
                <w:color w:val="000000" w:themeColor="text1"/>
                <w:u w:val="single"/>
              </w:rPr>
              <w:t>г.</w:t>
            </w:r>
            <w:r>
              <w:rPr>
                <w:u w:val="single"/>
              </w:rPr>
              <w:t xml:space="preserve"> по «21» марта 2027</w:t>
            </w:r>
            <w:r w:rsidRPr="00BB6E03">
              <w:rPr>
                <w:u w:val="single"/>
              </w:rPr>
              <w:t>г.</w:t>
            </w:r>
          </w:p>
          <w:p w:rsidR="003E5957" w:rsidRPr="00BB6E03" w:rsidRDefault="003E5957" w:rsidP="003E5957">
            <w:pPr>
              <w:spacing w:after="60"/>
              <w:ind w:left="494"/>
              <w:jc w:val="both"/>
              <w:rPr>
                <w:u w:val="single"/>
              </w:rPr>
            </w:pPr>
            <w:r w:rsidRPr="00BB6E03">
              <w:rPr>
                <w:b/>
                <w:u w:val="single"/>
              </w:rPr>
              <w:t>Срок предоставления аудиторского заключения</w:t>
            </w:r>
            <w:r>
              <w:rPr>
                <w:u w:val="single"/>
              </w:rPr>
              <w:t xml:space="preserve"> -  не позднее «24» марта 2027</w:t>
            </w:r>
            <w:r w:rsidRPr="00BB6E03">
              <w:rPr>
                <w:u w:val="single"/>
              </w:rPr>
              <w:t xml:space="preserve"> г.</w:t>
            </w:r>
          </w:p>
          <w:p w:rsidR="003E5957" w:rsidRPr="00BB6E03" w:rsidRDefault="003E5957" w:rsidP="003E5957">
            <w:pPr>
              <w:spacing w:after="6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4.1.2. </w:t>
            </w:r>
            <w:r w:rsidRPr="00BB6E03">
              <w:rPr>
                <w:u w:val="single"/>
              </w:rPr>
              <w:t xml:space="preserve">Услуги по аудиту бухгалтерской отчетности </w:t>
            </w:r>
            <w:r>
              <w:rPr>
                <w:b/>
                <w:u w:val="single"/>
              </w:rPr>
              <w:t>за 2027</w:t>
            </w:r>
            <w:r w:rsidRPr="00BB6E03">
              <w:rPr>
                <w:b/>
                <w:u w:val="single"/>
              </w:rPr>
              <w:t xml:space="preserve"> год:</w:t>
            </w:r>
          </w:p>
          <w:p w:rsidR="003E5957" w:rsidRPr="00BB6E03" w:rsidRDefault="003E5957" w:rsidP="003E5957">
            <w:pPr>
              <w:spacing w:after="60"/>
              <w:ind w:left="494"/>
              <w:jc w:val="both"/>
              <w:rPr>
                <w:u w:val="single"/>
              </w:rPr>
            </w:pPr>
            <w:r>
              <w:rPr>
                <w:b/>
                <w:u w:val="single"/>
              </w:rPr>
              <w:t xml:space="preserve">- </w:t>
            </w:r>
            <w:r w:rsidRPr="00BB6E03">
              <w:rPr>
                <w:u w:val="single"/>
              </w:rPr>
              <w:t xml:space="preserve">проверка бухгалтерской (финансовой) отчетности АО «Саханефтегазсбыт» по состоянию на </w:t>
            </w:r>
            <w:r>
              <w:rPr>
                <w:u w:val="single"/>
              </w:rPr>
              <w:t>«31» декабря 2027г.  – с «25» февраля 2028г. по «21» марта 2028</w:t>
            </w:r>
            <w:r w:rsidRPr="00BB6E03">
              <w:rPr>
                <w:u w:val="single"/>
              </w:rPr>
              <w:t>г.</w:t>
            </w:r>
          </w:p>
          <w:p w:rsidR="003E5957" w:rsidRDefault="003E5957" w:rsidP="003E5957">
            <w:pPr>
              <w:spacing w:after="60"/>
              <w:ind w:left="494"/>
              <w:jc w:val="both"/>
              <w:rPr>
                <w:u w:val="single"/>
              </w:rPr>
            </w:pPr>
            <w:r w:rsidRPr="00BB6E03">
              <w:rPr>
                <w:b/>
                <w:u w:val="single"/>
              </w:rPr>
              <w:t>Срок предоставления аудиторского заключения</w:t>
            </w:r>
            <w:r>
              <w:rPr>
                <w:u w:val="single"/>
              </w:rPr>
              <w:t xml:space="preserve"> -  не позднее «24» марта 2028</w:t>
            </w:r>
            <w:r w:rsidRPr="00BB6E03">
              <w:rPr>
                <w:u w:val="single"/>
              </w:rPr>
              <w:t xml:space="preserve"> г.</w:t>
            </w:r>
          </w:p>
          <w:p w:rsidR="003E5957" w:rsidRPr="00BB6E03" w:rsidRDefault="003E5957" w:rsidP="003E5957">
            <w:pPr>
              <w:spacing w:after="60"/>
              <w:jc w:val="both"/>
              <w:rPr>
                <w:u w:val="single"/>
              </w:rPr>
            </w:pPr>
            <w:r w:rsidRPr="00563DAC">
              <w:rPr>
                <w:u w:val="single"/>
              </w:rPr>
              <w:t>4.1.3</w:t>
            </w:r>
            <w:r>
              <w:rPr>
                <w:u w:val="single"/>
              </w:rPr>
              <w:t xml:space="preserve">. </w:t>
            </w:r>
            <w:r w:rsidRPr="00BB6E03">
              <w:rPr>
                <w:u w:val="single"/>
              </w:rPr>
              <w:t xml:space="preserve">Услуги по аудиту бухгалтерской отчетности </w:t>
            </w:r>
            <w:r>
              <w:rPr>
                <w:b/>
                <w:u w:val="single"/>
              </w:rPr>
              <w:t>за 2028</w:t>
            </w:r>
            <w:r w:rsidRPr="00BB6E03">
              <w:rPr>
                <w:b/>
                <w:u w:val="single"/>
              </w:rPr>
              <w:t xml:space="preserve"> год</w:t>
            </w:r>
            <w:r w:rsidRPr="00BB6E03">
              <w:rPr>
                <w:u w:val="single"/>
              </w:rPr>
              <w:t>:</w:t>
            </w:r>
          </w:p>
          <w:p w:rsidR="003E5957" w:rsidRPr="00BB6E03" w:rsidRDefault="003E5957" w:rsidP="003E5957">
            <w:pPr>
              <w:spacing w:after="60"/>
              <w:ind w:left="494"/>
              <w:jc w:val="both"/>
              <w:rPr>
                <w:u w:val="single"/>
              </w:rPr>
            </w:pPr>
            <w:r>
              <w:rPr>
                <w:b/>
                <w:u w:val="single"/>
              </w:rPr>
              <w:t xml:space="preserve">- </w:t>
            </w:r>
            <w:r w:rsidRPr="00BB6E03">
              <w:rPr>
                <w:u w:val="single"/>
              </w:rPr>
              <w:t>проверка бухгалтерской (финансовой) отчетности АО «Саханефтегазсбыт» п</w:t>
            </w:r>
            <w:r>
              <w:rPr>
                <w:u w:val="single"/>
              </w:rPr>
              <w:t xml:space="preserve">о состоянию на «31» декабря 2028г.  – с «25» февраля 2029 </w:t>
            </w:r>
            <w:r w:rsidRPr="00BB6E03">
              <w:rPr>
                <w:u w:val="single"/>
              </w:rPr>
              <w:t>г. по «21» март</w:t>
            </w:r>
            <w:r>
              <w:rPr>
                <w:u w:val="single"/>
              </w:rPr>
              <w:t xml:space="preserve">а 2029 </w:t>
            </w:r>
            <w:r w:rsidRPr="00BB6E03">
              <w:rPr>
                <w:u w:val="single"/>
              </w:rPr>
              <w:t>г.</w:t>
            </w:r>
          </w:p>
          <w:p w:rsidR="003E5957" w:rsidRPr="00563DAC" w:rsidRDefault="003E5957" w:rsidP="003E5957">
            <w:pPr>
              <w:spacing w:after="60"/>
              <w:ind w:left="494"/>
              <w:jc w:val="both"/>
              <w:rPr>
                <w:u w:val="single"/>
              </w:rPr>
            </w:pPr>
            <w:r w:rsidRPr="00BB6E03">
              <w:rPr>
                <w:b/>
                <w:u w:val="single"/>
              </w:rPr>
              <w:t>Срок предоставления аудиторского заключения</w:t>
            </w:r>
            <w:r>
              <w:rPr>
                <w:u w:val="single"/>
              </w:rPr>
              <w:t xml:space="preserve"> -  не позднее «24» марта 2029</w:t>
            </w:r>
            <w:r w:rsidRPr="00BB6E03">
              <w:rPr>
                <w:u w:val="single"/>
              </w:rPr>
              <w:t xml:space="preserve"> г.</w:t>
            </w:r>
          </w:p>
          <w:p w:rsidR="00D774F9" w:rsidRPr="00C22191" w:rsidRDefault="00D774F9" w:rsidP="003E5957"/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 xml:space="preserve">1.9. 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Начальная (максимальная) цена контракта (цена отдельных этапов исполнения контракта)</w:t>
            </w:r>
          </w:p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color w:val="000000"/>
              </w:rPr>
            </w:pPr>
          </w:p>
        </w:tc>
        <w:tc>
          <w:tcPr>
            <w:tcW w:w="5670" w:type="dxa"/>
          </w:tcPr>
          <w:p w:rsidR="003E5957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 xml:space="preserve">Начальная (максимальная) цена </w:t>
            </w:r>
            <w:r>
              <w:t>договора</w:t>
            </w:r>
            <w:r w:rsidRPr="00C22191">
              <w:t xml:space="preserve"> составляет: </w:t>
            </w:r>
          </w:p>
          <w:p w:rsidR="003E5957" w:rsidRPr="003E5957" w:rsidRDefault="003E5957" w:rsidP="003E5957">
            <w:pPr>
              <w:suppressAutoHyphens w:val="0"/>
              <w:jc w:val="both"/>
            </w:pPr>
            <w:r>
              <w:t>5 554 500,00 (пять миллионов пятьсот пятьдесят четыре тысячи пятьсот) рублей 00 копеек, в том числе НДС.</w:t>
            </w:r>
          </w:p>
          <w:p w:rsidR="00D774F9" w:rsidRPr="00AC62DA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Обоснование начальной максимальной цены контракта приложено в виде отдельного файла.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1.10.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color w:val="000000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Источник финансирования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Собственные средства акционерного общества.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 xml:space="preserve">1.11. 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color w:val="000000"/>
              </w:rPr>
            </w:pPr>
            <w:r w:rsidRPr="00C22191">
              <w:rPr>
                <w:color w:val="000000"/>
              </w:rPr>
              <w:t>Наименование валюты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Российский рубль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1.12.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color w:val="000000"/>
              </w:rPr>
            </w:pPr>
            <w:r w:rsidRPr="00C22191">
              <w:rPr>
                <w:color w:val="000000"/>
              </w:rPr>
              <w:t>Размер аванса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Выплата аванса не предусмотрена.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 xml:space="preserve">1.13. 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Критерии оценки заявок на участие в конкурсах, величины значимости этих критериев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Приложены в виде отдельного файла.</w:t>
            </w:r>
          </w:p>
        </w:tc>
      </w:tr>
      <w:tr w:rsidR="00D774F9" w:rsidRPr="00C22191" w:rsidTr="005D3638">
        <w:tc>
          <w:tcPr>
            <w:tcW w:w="704" w:type="dxa"/>
            <w:vMerge w:val="restart"/>
          </w:tcPr>
          <w:p w:rsidR="00D774F9" w:rsidRPr="00C22191" w:rsidRDefault="00D774F9" w:rsidP="005D3638">
            <w:pPr>
              <w:contextualSpacing/>
            </w:pPr>
            <w:r w:rsidRPr="00C22191">
              <w:lastRenderedPageBreak/>
              <w:t>1.14.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Требования, предъявляемые к участникам закупки в соответствии с ч. 1 ст. 31 </w:t>
            </w:r>
            <w:r w:rsidRPr="00C22191">
      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 xml:space="preserve">Установлены. </w:t>
            </w:r>
          </w:p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</w:p>
        </w:tc>
      </w:tr>
      <w:tr w:rsidR="00D774F9" w:rsidRPr="00C22191" w:rsidTr="005D3638">
        <w:tc>
          <w:tcPr>
            <w:tcW w:w="704" w:type="dxa"/>
            <w:vMerge/>
          </w:tcPr>
          <w:p w:rsidR="00D774F9" w:rsidRPr="00C22191" w:rsidRDefault="00D774F9" w:rsidP="005D3638">
            <w:pPr>
              <w:contextualSpacing/>
            </w:pPr>
          </w:p>
        </w:tc>
        <w:tc>
          <w:tcPr>
            <w:tcW w:w="3657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eastAsiaTheme="minorHAnsi"/>
                <w:color w:val="auto"/>
                <w:lang w:eastAsia="en-US"/>
              </w:rPr>
            </w:pPr>
            <w:r w:rsidRPr="00C22191">
              <w:t xml:space="preserve">Требования в соответствии с п. 1 ч. 1 </w:t>
            </w:r>
            <w:r w:rsidRPr="00C22191">
              <w:rPr>
                <w:rFonts w:eastAsiaTheme="minorHAnsi"/>
                <w:color w:val="auto"/>
                <w:lang w:eastAsia="en-US"/>
              </w:rPr>
              <w:t xml:space="preserve">ст. 31 </w:t>
            </w:r>
            <w:r w:rsidRPr="00C22191">
      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>
              <w:t>Установлены.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1.15.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Требования, предъявляемые к участникам закупки в соответствии с ч. 1.1 ст. 31 </w:t>
            </w:r>
            <w:r w:rsidRPr="00C22191">
      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Установлены.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1.16.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color w:val="000000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Требования, предъявляемые к участникам закупки в соответствии с ч. 2 ст. 31 </w:t>
            </w:r>
            <w:r w:rsidRPr="00C22191">
      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lang w:val="en-US"/>
              </w:rPr>
            </w:pPr>
            <w:r w:rsidRPr="00C22191">
              <w:t>Не установлены.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1.17.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color w:val="000000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Требования, предъявляемые к участникам закупки в соответствии с ч. 2.1 ст. 31 </w:t>
            </w:r>
            <w:r w:rsidRPr="00C22191">
      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Не установлены.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1.18.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Информация о предоставлении преимущества в соответствии со ст. 28 и 29 </w:t>
            </w:r>
            <w:r w:rsidRPr="00C22191">
      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Преимущества не предоставляются в соответствии с ч. 7 ст. 15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lastRenderedPageBreak/>
              <w:t>1.19.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Информация о преимуществах участия в определении поставщика (подрядчика, исполнителя) в соответствии с ч. 3 ст. 30 </w:t>
            </w:r>
            <w:r w:rsidRPr="00C22191">
      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Преимущества не предоставляются в соответствии с ч. 7 ст. 15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1.20.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в соответствии со ст. 14 </w:t>
            </w:r>
            <w:r w:rsidRPr="00C22191">
      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Не устанавливаются в соответствии с п. 7 ст. 15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 xml:space="preserve">1.21. 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Размер и порядок внесения денежных средств в качестве обеспечения заявки на участие в закупке, условия независимой гарантии (реквизиты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случае, предусмотренном ч. 13 ст. 44 </w:t>
            </w:r>
            <w:r w:rsidRPr="00C22191">
      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 xml:space="preserve">Установлено требование об обеспечении заявки на участие в размере 1 % от НМЦК, что составляет </w:t>
            </w:r>
            <w:r w:rsidR="003E5957">
              <w:t>55 545</w:t>
            </w:r>
            <w:r>
              <w:t xml:space="preserve"> </w:t>
            </w:r>
            <w:r w:rsidRPr="00C22191">
              <w:t>(</w:t>
            </w:r>
            <w:r w:rsidR="003E5957">
              <w:t>пятьдесят пять тысяч пятьсот сорок пять</w:t>
            </w:r>
            <w:r w:rsidRPr="00C22191">
              <w:t xml:space="preserve">) рублей </w:t>
            </w:r>
            <w:r>
              <w:t>00</w:t>
            </w:r>
            <w:r w:rsidRPr="00C22191">
              <w:t xml:space="preserve"> копе</w:t>
            </w:r>
            <w:r>
              <w:t>ек</w:t>
            </w:r>
            <w:r w:rsidRPr="00C22191">
              <w:t>.</w:t>
            </w:r>
          </w:p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Обеспечение заявки на участие в закупке предоставляется одним из следующих способов:</w:t>
            </w:r>
          </w:p>
          <w:p w:rsidR="00D774F9" w:rsidRPr="00C22191" w:rsidRDefault="00D774F9" w:rsidP="005D3638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путем блокирования денежных средств на банковском счете, открытом таким участником в банке, включенном в перечень, утвержденный Правительством Российской Федерации, для их перевода в случаях, предусмотренных законодательством, на счет, на котором в соответствии с законодательством Российской Федерации учитываются операции со средствами, поступающими заказчику. Требования к таким банкам, к договору специального счета,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Федерации;</w:t>
            </w:r>
          </w:p>
          <w:p w:rsidR="00D774F9" w:rsidRPr="00C22191" w:rsidRDefault="00D774F9" w:rsidP="005D3638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outlineLvl w:val="2"/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путем предоставления независимой гарантии, соответствующей требованиям ст. 45 </w:t>
            </w:r>
            <w:r w:rsidRPr="00C22191">
      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D774F9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lastRenderedPageBreak/>
              <w:t xml:space="preserve">Выбор способа обеспечения осуществляется участником закупки самостоятельно. </w:t>
            </w:r>
          </w:p>
          <w:p w:rsidR="00CF5849" w:rsidRPr="00C22191" w:rsidRDefault="00CF584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D774F9" w:rsidRPr="00C22191" w:rsidTr="005D3638">
        <w:tc>
          <w:tcPr>
            <w:tcW w:w="704" w:type="dxa"/>
            <w:vMerge w:val="restart"/>
          </w:tcPr>
          <w:p w:rsidR="00D774F9" w:rsidRPr="00C22191" w:rsidRDefault="00D774F9" w:rsidP="005D3638">
            <w:pPr>
              <w:contextualSpacing/>
            </w:pPr>
            <w:r w:rsidRPr="00C22191">
              <w:lastRenderedPageBreak/>
              <w:t xml:space="preserve">1.22. 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Размер обеспечения исполнения </w:t>
            </w:r>
            <w:r>
              <w:rPr>
                <w:rFonts w:eastAsiaTheme="minorHAnsi"/>
                <w:color w:val="auto"/>
                <w:lang w:eastAsia="en-US"/>
              </w:rPr>
              <w:t>договора</w:t>
            </w:r>
            <w:r w:rsidRPr="00C22191">
              <w:rPr>
                <w:rFonts w:eastAsiaTheme="minorHAnsi"/>
                <w:color w:val="auto"/>
                <w:lang w:eastAsia="en-US"/>
              </w:rPr>
              <w:t>, порядок предоставления такого обеспечения, требования к такому обеспечению</w:t>
            </w:r>
          </w:p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color w:val="000000"/>
              </w:rPr>
            </w:pP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eastAsiaTheme="minorHAnsi"/>
                <w:color w:val="auto"/>
                <w:lang w:eastAsia="en-US"/>
              </w:rPr>
            </w:pPr>
            <w:r>
              <w:t>Не установлен.</w:t>
            </w:r>
          </w:p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</w:p>
        </w:tc>
      </w:tr>
      <w:tr w:rsidR="00D774F9" w:rsidRPr="00C22191" w:rsidTr="005D3638">
        <w:tc>
          <w:tcPr>
            <w:tcW w:w="704" w:type="dxa"/>
            <w:vMerge/>
          </w:tcPr>
          <w:p w:rsidR="00D774F9" w:rsidRPr="00C22191" w:rsidRDefault="00D774F9" w:rsidP="005D3638">
            <w:pPr>
              <w:contextualSpacing/>
            </w:pP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Антидемпинговые меры 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Если при проведении конкурса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либо предложена сумма цен единиц товара, работы, услуги, которая на двадцать пять и более процентов ниже начальной суммы цен указанных единиц, контракт заключается только после предоставления таким участником обеспечения исполнения контракта в размере, превышающем в полтора раза размер обеспечения исполнения контракта, указанный в извещении об осуществлении закупки, но не менее чем десять процентов от начальной (максимальной) цены контракта и не менее размера аванса, или информации, подтверждающей добросовестность такого участника в соответствии с ч. 3 ст. 37 </w:t>
            </w:r>
            <w:r w:rsidRPr="00C22191">
      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C22191">
              <w:rPr>
                <w:rFonts w:eastAsiaTheme="minorHAnsi"/>
                <w:color w:val="auto"/>
                <w:lang w:eastAsia="en-US"/>
              </w:rPr>
              <w:t xml:space="preserve"> с одновременным предоставлением таким участником обеспечения исполнения контракта в размере обеспечения исполнения контракта, указанном в извещении об осуществлении закупки.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1.23.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Информация о банковском сопровождении </w:t>
            </w:r>
            <w:r>
              <w:rPr>
                <w:rFonts w:eastAsiaTheme="minorHAnsi"/>
                <w:color w:val="auto"/>
                <w:lang w:eastAsia="en-US"/>
              </w:rPr>
              <w:t>договора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Не требуется в соответствии с ч. 7 ст. 15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1.24.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 xml:space="preserve">Информация о возможности одностороннего отказа от исполнения </w:t>
            </w:r>
            <w:r>
              <w:rPr>
                <w:rFonts w:eastAsiaTheme="minorHAnsi"/>
                <w:color w:val="auto"/>
                <w:lang w:eastAsia="en-US"/>
              </w:rPr>
              <w:t>договора</w:t>
            </w:r>
          </w:p>
        </w:tc>
        <w:tc>
          <w:tcPr>
            <w:tcW w:w="5670" w:type="dxa"/>
          </w:tcPr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C22191">
              <w:t>Возможность одностороннего отказа предусмотрена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1.25.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</w:tcPr>
          <w:p w:rsidR="00D774F9" w:rsidRPr="00EF7AC7" w:rsidRDefault="00550D38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color w:val="FF0000"/>
                <w:highlight w:val="yellow"/>
              </w:rPr>
            </w:pPr>
            <w:r w:rsidRPr="00550D38">
              <w:rPr>
                <w:color w:val="000000" w:themeColor="text1"/>
              </w:rPr>
              <w:t>28.04</w:t>
            </w:r>
            <w:r w:rsidR="003E5957" w:rsidRPr="00550D38">
              <w:rPr>
                <w:color w:val="000000" w:themeColor="text1"/>
              </w:rPr>
              <w:t>.2026</w:t>
            </w:r>
            <w:r w:rsidR="00D774F9" w:rsidRPr="00550D38">
              <w:rPr>
                <w:color w:val="000000" w:themeColor="text1"/>
              </w:rPr>
              <w:t xml:space="preserve"> г. 03:00 (МСК)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t>1.2</w:t>
            </w:r>
            <w:r w:rsidRPr="003E5957">
              <w:t>6</w:t>
            </w:r>
            <w:r w:rsidRPr="00C22191">
              <w:t>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Дата окончания срока рассмотрения и оценки вторых частей заявок на участие в закупке</w:t>
            </w:r>
          </w:p>
          <w:p w:rsidR="00D774F9" w:rsidRPr="00C22191" w:rsidRDefault="00D774F9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color w:val="000000"/>
              </w:rPr>
            </w:pPr>
          </w:p>
        </w:tc>
        <w:tc>
          <w:tcPr>
            <w:tcW w:w="5670" w:type="dxa"/>
          </w:tcPr>
          <w:p w:rsidR="00D774F9" w:rsidRPr="00EF7AC7" w:rsidRDefault="00550D38" w:rsidP="005D36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color w:val="FF0000"/>
                <w:highlight w:val="yellow"/>
              </w:rPr>
            </w:pPr>
            <w:r w:rsidRPr="00550D38">
              <w:rPr>
                <w:color w:val="000000" w:themeColor="text1"/>
              </w:rPr>
              <w:t>30.04</w:t>
            </w:r>
            <w:r w:rsidR="003E5957" w:rsidRPr="00550D38">
              <w:rPr>
                <w:color w:val="000000" w:themeColor="text1"/>
              </w:rPr>
              <w:t>.2026</w:t>
            </w:r>
            <w:r w:rsidR="00D774F9" w:rsidRPr="00550D38">
              <w:rPr>
                <w:color w:val="000000" w:themeColor="text1"/>
              </w:rPr>
              <w:t xml:space="preserve"> г. </w:t>
            </w:r>
          </w:p>
        </w:tc>
      </w:tr>
      <w:tr w:rsidR="00D774F9" w:rsidRPr="00C22191" w:rsidTr="005D3638">
        <w:tc>
          <w:tcPr>
            <w:tcW w:w="704" w:type="dxa"/>
          </w:tcPr>
          <w:p w:rsidR="00D774F9" w:rsidRPr="00C22191" w:rsidRDefault="00D774F9" w:rsidP="005D3638">
            <w:pPr>
              <w:contextualSpacing/>
            </w:pPr>
            <w:r w:rsidRPr="00C22191">
              <w:lastRenderedPageBreak/>
              <w:t>1.2</w:t>
            </w:r>
            <w:r w:rsidRPr="003E5957">
              <w:t>7</w:t>
            </w:r>
            <w:r w:rsidRPr="00C22191">
              <w:t>.</w:t>
            </w:r>
          </w:p>
        </w:tc>
        <w:tc>
          <w:tcPr>
            <w:tcW w:w="3657" w:type="dxa"/>
          </w:tcPr>
          <w:p w:rsidR="00D774F9" w:rsidRPr="00C22191" w:rsidRDefault="00D774F9" w:rsidP="005D363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C22191">
              <w:rPr>
                <w:rFonts w:eastAsiaTheme="minorHAnsi"/>
                <w:color w:val="auto"/>
                <w:lang w:eastAsia="en-US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5670" w:type="dxa"/>
          </w:tcPr>
          <w:p w:rsidR="00D774F9" w:rsidRPr="00EF7AC7" w:rsidRDefault="00550D38" w:rsidP="00550D38">
            <w:pPr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color w:val="FF0000"/>
                <w:highlight w:val="yellow"/>
              </w:rPr>
            </w:pPr>
            <w:r w:rsidRPr="00550D38">
              <w:rPr>
                <w:color w:val="000000" w:themeColor="text1"/>
              </w:rPr>
              <w:t>04.05.</w:t>
            </w:r>
            <w:r w:rsidR="003E5957" w:rsidRPr="00550D38">
              <w:rPr>
                <w:color w:val="000000" w:themeColor="text1"/>
              </w:rPr>
              <w:t>2026</w:t>
            </w:r>
            <w:r w:rsidR="00D774F9" w:rsidRPr="00550D38">
              <w:rPr>
                <w:color w:val="000000" w:themeColor="text1"/>
              </w:rPr>
              <w:t xml:space="preserve"> г. </w:t>
            </w:r>
            <w:bookmarkStart w:id="0" w:name="_GoBack"/>
            <w:bookmarkEnd w:id="0"/>
          </w:p>
        </w:tc>
      </w:tr>
    </w:tbl>
    <w:p w:rsidR="00D774F9" w:rsidRPr="00C22191" w:rsidRDefault="00D774F9" w:rsidP="00D774F9">
      <w:pPr>
        <w:contextualSpacing/>
      </w:pPr>
    </w:p>
    <w:p w:rsidR="00D774F9" w:rsidRPr="00C22191" w:rsidRDefault="00D774F9" w:rsidP="00D774F9">
      <w:pPr>
        <w:contextualSpacing/>
      </w:pPr>
    </w:p>
    <w:p w:rsidR="00D774F9" w:rsidRDefault="00D774F9" w:rsidP="00D774F9">
      <w:pPr>
        <w:contextualSpacing/>
      </w:pPr>
      <w:r w:rsidRPr="00C22191">
        <w:t xml:space="preserve">Приложения: </w:t>
      </w:r>
    </w:p>
    <w:p w:rsidR="00D774F9" w:rsidRPr="00C22191" w:rsidRDefault="00D774F9" w:rsidP="00D774F9">
      <w:pPr>
        <w:contextualSpacing/>
      </w:pPr>
    </w:p>
    <w:p w:rsidR="00D774F9" w:rsidRDefault="00D774F9" w:rsidP="00D774F9">
      <w:pPr>
        <w:pStyle w:val="a9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C22191">
        <w:rPr>
          <w:rFonts w:eastAsiaTheme="minorHAnsi"/>
          <w:color w:val="auto"/>
          <w:lang w:eastAsia="en-US"/>
        </w:rPr>
        <w:t>описание объекта закупки в соответствии со ст. 33 44-ФЗ;</w:t>
      </w:r>
    </w:p>
    <w:p w:rsidR="00D774F9" w:rsidRPr="00B169BB" w:rsidRDefault="00D774F9" w:rsidP="00D774F9">
      <w:pPr>
        <w:pStyle w:val="a9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B169BB">
        <w:rPr>
          <w:rFonts w:eastAsiaTheme="minorHAnsi"/>
          <w:color w:val="auto"/>
          <w:lang w:eastAsia="en-US"/>
        </w:rPr>
        <w:t>обоснование НМЦД;</w:t>
      </w:r>
    </w:p>
    <w:p w:rsidR="00D774F9" w:rsidRPr="00B169BB" w:rsidRDefault="00D774F9" w:rsidP="00D774F9">
      <w:pPr>
        <w:pStyle w:val="a9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C22191">
        <w:rPr>
          <w:rFonts w:eastAsiaTheme="minorHAnsi"/>
          <w:color w:val="auto"/>
          <w:lang w:eastAsia="en-US"/>
        </w:rPr>
        <w:t>требования к содержанию, составу заявки и инструкция по ее заполнению;</w:t>
      </w:r>
    </w:p>
    <w:p w:rsidR="00D774F9" w:rsidRPr="00C22191" w:rsidRDefault="00D774F9" w:rsidP="00D774F9">
      <w:pPr>
        <w:pStyle w:val="a9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C22191">
        <w:rPr>
          <w:rFonts w:eastAsiaTheme="minorHAnsi"/>
          <w:color w:val="auto"/>
          <w:lang w:eastAsia="en-US"/>
        </w:rPr>
        <w:t>порядок рассмотрения и оценки заявок на участие в конкурсе;</w:t>
      </w:r>
    </w:p>
    <w:p w:rsidR="00D774F9" w:rsidRPr="00C22191" w:rsidRDefault="00D774F9" w:rsidP="00D774F9">
      <w:pPr>
        <w:pStyle w:val="a9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C22191">
        <w:rPr>
          <w:rFonts w:eastAsiaTheme="minorHAnsi"/>
          <w:color w:val="auto"/>
          <w:lang w:eastAsia="en-US"/>
        </w:rPr>
        <w:t xml:space="preserve">проект </w:t>
      </w:r>
      <w:r>
        <w:rPr>
          <w:rFonts w:eastAsiaTheme="minorHAnsi"/>
          <w:color w:val="auto"/>
          <w:lang w:eastAsia="en-US"/>
        </w:rPr>
        <w:t>договора</w:t>
      </w:r>
      <w:r w:rsidRPr="00C22191">
        <w:rPr>
          <w:rFonts w:eastAsiaTheme="minorHAnsi"/>
          <w:color w:val="auto"/>
          <w:lang w:eastAsia="en-US"/>
        </w:rPr>
        <w:t>.</w:t>
      </w:r>
    </w:p>
    <w:p w:rsidR="00D774F9" w:rsidRPr="00C12546" w:rsidRDefault="00D774F9" w:rsidP="00D774F9">
      <w:pPr>
        <w:pStyle w:val="a9"/>
      </w:pPr>
    </w:p>
    <w:p w:rsidR="00F45562" w:rsidRDefault="00550D38"/>
    <w:sectPr w:rsidR="00F45562" w:rsidSect="008649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F9" w:rsidRDefault="00D774F9" w:rsidP="00D774F9">
      <w:r>
        <w:separator/>
      </w:r>
    </w:p>
  </w:endnote>
  <w:endnote w:type="continuationSeparator" w:id="0">
    <w:p w:rsidR="00D774F9" w:rsidRDefault="00D774F9" w:rsidP="00D7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F9" w:rsidRDefault="00D774F9" w:rsidP="00D774F9">
      <w:r>
        <w:separator/>
      </w:r>
    </w:p>
  </w:footnote>
  <w:footnote w:type="continuationSeparator" w:id="0">
    <w:p w:rsidR="00D774F9" w:rsidRDefault="00D774F9" w:rsidP="00D774F9">
      <w:r>
        <w:continuationSeparator/>
      </w:r>
    </w:p>
  </w:footnote>
  <w:footnote w:id="1">
    <w:p w:rsidR="00D774F9" w:rsidRDefault="00D774F9" w:rsidP="00D774F9">
      <w:pPr>
        <w:pStyle w:val="a6"/>
      </w:pPr>
      <w:r>
        <w:rPr>
          <w:rStyle w:val="a8"/>
        </w:rPr>
        <w:footnoteRef/>
      </w:r>
      <w:r>
        <w:t xml:space="preserve"> </w:t>
      </w:r>
      <w:r w:rsidRPr="008F49D3">
        <w:rPr>
          <w:sz w:val="16"/>
          <w:szCs w:val="16"/>
        </w:rPr>
        <w:t xml:space="preserve">КТРУ не применяется в соответствии с </w:t>
      </w:r>
      <w:r>
        <w:rPr>
          <w:sz w:val="16"/>
          <w:szCs w:val="16"/>
        </w:rPr>
        <w:t>ч</w:t>
      </w:r>
      <w:r w:rsidRPr="008F49D3">
        <w:rPr>
          <w:sz w:val="16"/>
          <w:szCs w:val="16"/>
        </w:rPr>
        <w:t>. 7 ст. 15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AB6"/>
    <w:multiLevelType w:val="hybridMultilevel"/>
    <w:tmpl w:val="7F9C15DA"/>
    <w:lvl w:ilvl="0" w:tplc="3C389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C10DFB"/>
    <w:multiLevelType w:val="hybridMultilevel"/>
    <w:tmpl w:val="9B408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F9"/>
    <w:rsid w:val="00162A81"/>
    <w:rsid w:val="001C00C4"/>
    <w:rsid w:val="00266609"/>
    <w:rsid w:val="00313A1B"/>
    <w:rsid w:val="003E5957"/>
    <w:rsid w:val="00550D38"/>
    <w:rsid w:val="006750A8"/>
    <w:rsid w:val="00837515"/>
    <w:rsid w:val="00844016"/>
    <w:rsid w:val="00974AD6"/>
    <w:rsid w:val="00AC62DA"/>
    <w:rsid w:val="00B961B6"/>
    <w:rsid w:val="00CF5849"/>
    <w:rsid w:val="00D774F9"/>
    <w:rsid w:val="00E6402C"/>
    <w:rsid w:val="00E8476C"/>
    <w:rsid w:val="00ED3865"/>
    <w:rsid w:val="00E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96DD"/>
  <w15:chartTrackingRefBased/>
  <w15:docId w15:val="{08F2EE48-5160-4546-9F88-AA62B3DD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F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74F9"/>
    <w:rPr>
      <w:rFonts w:ascii="Times New Roman" w:hAnsi="Times New Roman"/>
      <w:color w:val="0000FF"/>
      <w:u w:val="single"/>
    </w:rPr>
  </w:style>
  <w:style w:type="paragraph" w:styleId="a4">
    <w:name w:val="Subtitle"/>
    <w:basedOn w:val="a"/>
    <w:link w:val="a5"/>
    <w:qFormat/>
    <w:rsid w:val="00D774F9"/>
    <w:pPr>
      <w:suppressAutoHyphens w:val="0"/>
      <w:spacing w:after="60" w:line="276" w:lineRule="auto"/>
      <w:jc w:val="center"/>
      <w:outlineLvl w:val="1"/>
    </w:pPr>
    <w:rPr>
      <w:rFonts w:ascii="Arial" w:hAnsi="Arial" w:cs="Arial"/>
      <w:color w:val="auto"/>
      <w:lang w:eastAsia="en-US"/>
    </w:rPr>
  </w:style>
  <w:style w:type="character" w:customStyle="1" w:styleId="a5">
    <w:name w:val="Подзаголовок Знак"/>
    <w:basedOn w:val="a0"/>
    <w:link w:val="a4"/>
    <w:rsid w:val="00D774F9"/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D774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774F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774F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D774F9"/>
    <w:rPr>
      <w:vertAlign w:val="superscript"/>
    </w:rPr>
  </w:style>
  <w:style w:type="paragraph" w:styleId="a9">
    <w:name w:val="List Paragraph"/>
    <w:basedOn w:val="a"/>
    <w:uiPriority w:val="34"/>
    <w:qFormat/>
    <w:rsid w:val="00D77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e@yn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Юлия Сергеевна</dc:creator>
  <cp:keywords/>
  <dc:description/>
  <cp:lastModifiedBy>Луковцев Данил Николаевич</cp:lastModifiedBy>
  <cp:revision>13</cp:revision>
  <dcterms:created xsi:type="dcterms:W3CDTF">2026-04-03T06:07:00Z</dcterms:created>
  <dcterms:modified xsi:type="dcterms:W3CDTF">2026-04-10T00:54:00Z</dcterms:modified>
</cp:coreProperties>
</file>